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3C5F1E24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51A58">
              <w:rPr>
                <w:rFonts w:asciiTheme="majorHAnsi" w:hAnsiTheme="majorHAnsi"/>
              </w:rPr>
              <w:t>Critical Thinking &amp; Inquiry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5505D3CA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551A58">
              <w:rPr>
                <w:rFonts w:asciiTheme="majorHAnsi" w:hAnsiTheme="majorHAnsi"/>
              </w:rPr>
              <w:t>Critical Thinking &amp; Inquiry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7A00FA5B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will have an understanding </w:t>
            </w:r>
            <w:r w:rsidR="00316039">
              <w:rPr>
                <w:rFonts w:asciiTheme="majorHAnsi" w:hAnsiTheme="majorHAnsi"/>
              </w:rPr>
              <w:t xml:space="preserve">of </w:t>
            </w:r>
            <w:r w:rsidR="00551A58">
              <w:rPr>
                <w:rFonts w:asciiTheme="majorHAnsi" w:hAnsiTheme="majorHAnsi"/>
              </w:rPr>
              <w:t>a variety of inquiry based teaching strategies that build students’ critical thinking skills.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52907DA1" w:rsidR="006E2A61" w:rsidRPr="0097227B" w:rsidRDefault="00551A58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Critical Thinking &amp; Inquiry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2015-02-04T16:27:00Z</dcterms:created>
  <dcterms:modified xsi:type="dcterms:W3CDTF">2015-02-04T16:27:00Z</dcterms:modified>
</cp:coreProperties>
</file>