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6B25903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316039">
              <w:rPr>
                <w:rFonts w:asciiTheme="majorHAnsi" w:hAnsiTheme="majorHAnsi"/>
              </w:rPr>
              <w:t>Collaborative Learning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33527319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Classrooms in Focus</w:t>
            </w:r>
            <w:r w:rsidR="00316039">
              <w:rPr>
                <w:rFonts w:asciiTheme="majorHAnsi" w:hAnsiTheme="majorHAnsi"/>
              </w:rPr>
              <w:t>-Collaborative Learning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1B1769A4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By the end of the video, viewers will have an understanding </w:t>
            </w:r>
            <w:r w:rsidR="00316039">
              <w:rPr>
                <w:rFonts w:asciiTheme="majorHAnsi" w:hAnsiTheme="majorHAnsi"/>
              </w:rPr>
              <w:t>of how to use a variety of collaborative learning structures during instruction.</w:t>
            </w:r>
            <w:bookmarkStart w:id="0" w:name="_GoBack"/>
            <w:bookmarkEnd w:id="0"/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086FDFAD" w:rsidR="006E2A61" w:rsidRPr="0097227B" w:rsidRDefault="00316039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Collaborative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316039"/>
    <w:rsid w:val="004172D1"/>
    <w:rsid w:val="00691E7C"/>
    <w:rsid w:val="006E2A61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2015-02-04T16:25:00Z</dcterms:created>
  <dcterms:modified xsi:type="dcterms:W3CDTF">2015-02-04T16:25:00Z</dcterms:modified>
</cp:coreProperties>
</file>