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FE" w:rsidRPr="00AF7B5E" w:rsidRDefault="00695BEB" w:rsidP="00695BEB">
      <w:pPr>
        <w:pStyle w:val="Title"/>
        <w:rPr>
          <w:sz w:val="36"/>
          <w:szCs w:val="36"/>
        </w:rPr>
      </w:pPr>
      <w:bookmarkStart w:id="0" w:name="_GoBack"/>
      <w:bookmarkEnd w:id="0"/>
      <w:r w:rsidRPr="00AF7B5E">
        <w:rPr>
          <w:sz w:val="36"/>
          <w:szCs w:val="36"/>
        </w:rPr>
        <w:t>ACPS Writing Genres</w:t>
      </w:r>
    </w:p>
    <w:p w:rsidR="00695BEB" w:rsidRDefault="00695BEB" w:rsidP="0009274E">
      <w:pPr>
        <w:spacing w:line="240" w:lineRule="auto"/>
        <w:rPr>
          <w:rFonts w:ascii="Tw Cen MT" w:hAnsi="Tw Cen MT"/>
        </w:rPr>
      </w:pPr>
      <w:r w:rsidRPr="00456F5B">
        <w:rPr>
          <w:rFonts w:ascii="Tw Cen MT" w:hAnsi="Tw Cen MT"/>
          <w:b/>
          <w:u w:val="single"/>
        </w:rPr>
        <w:t>Introduction</w:t>
      </w:r>
      <w:r w:rsidRPr="00456F5B">
        <w:rPr>
          <w:rFonts w:ascii="Tw Cen MT" w:hAnsi="Tw Cen MT"/>
          <w:b/>
        </w:rPr>
        <w:t xml:space="preserve">: </w:t>
      </w:r>
      <w:r w:rsidRPr="00456F5B">
        <w:rPr>
          <w:rFonts w:ascii="Tw Cen MT" w:hAnsi="Tw Cen MT"/>
        </w:rPr>
        <w:t>This anchor chart is designed to</w:t>
      </w:r>
      <w:r>
        <w:rPr>
          <w:rFonts w:ascii="Tw Cen MT" w:hAnsi="Tw Cen MT"/>
        </w:rPr>
        <w:t xml:space="preserve"> </w:t>
      </w:r>
      <w:r w:rsidRPr="00456F5B">
        <w:rPr>
          <w:rFonts w:ascii="Tw Cen MT" w:hAnsi="Tw Cen MT"/>
        </w:rPr>
        <w:t xml:space="preserve">support teachers </w:t>
      </w:r>
      <w:r>
        <w:rPr>
          <w:rFonts w:ascii="Tw Cen MT" w:hAnsi="Tw Cen MT"/>
        </w:rPr>
        <w:t>in using a</w:t>
      </w:r>
      <w:r w:rsidRPr="00456F5B">
        <w:rPr>
          <w:rFonts w:ascii="Tw Cen MT" w:hAnsi="Tw Cen MT"/>
        </w:rPr>
        <w:t xml:space="preserve"> common language </w:t>
      </w:r>
      <w:r>
        <w:rPr>
          <w:rFonts w:ascii="Tw Cen MT" w:hAnsi="Tw Cen MT"/>
        </w:rPr>
        <w:t xml:space="preserve">for written products and performance tasks </w:t>
      </w:r>
      <w:r w:rsidRPr="00456F5B">
        <w:rPr>
          <w:rFonts w:ascii="Tw Cen MT" w:hAnsi="Tw Cen MT"/>
        </w:rPr>
        <w:t>across content areas</w:t>
      </w:r>
      <w:r>
        <w:rPr>
          <w:rFonts w:ascii="Tw Cen MT" w:hAnsi="Tw Cen MT"/>
        </w:rPr>
        <w:t>. It promotes</w:t>
      </w:r>
      <w:r w:rsidRPr="00456F5B">
        <w:rPr>
          <w:rFonts w:ascii="Tw Cen MT" w:hAnsi="Tw Cen MT"/>
        </w:rPr>
        <w:t xml:space="preserve"> the achievement of English Language Learners when engaged in the writing process </w:t>
      </w:r>
      <w:r>
        <w:rPr>
          <w:rFonts w:ascii="Tw Cen MT" w:hAnsi="Tw Cen MT"/>
        </w:rPr>
        <w:t>and</w:t>
      </w:r>
      <w:r w:rsidRPr="00456F5B">
        <w:rPr>
          <w:rFonts w:ascii="Tw Cen MT" w:hAnsi="Tw Cen MT"/>
        </w:rPr>
        <w:t xml:space="preserve"> provide</w:t>
      </w:r>
      <w:r>
        <w:rPr>
          <w:rFonts w:ascii="Tw Cen MT" w:hAnsi="Tw Cen MT"/>
        </w:rPr>
        <w:t>s</w:t>
      </w:r>
      <w:r w:rsidRPr="00456F5B">
        <w:rPr>
          <w:rFonts w:ascii="Tw Cen MT" w:hAnsi="Tw Cen MT"/>
        </w:rPr>
        <w:t xml:space="preserve"> a common language for writing instruction in </w:t>
      </w:r>
      <w:r>
        <w:rPr>
          <w:rFonts w:ascii="Tw Cen MT" w:hAnsi="Tw Cen MT"/>
        </w:rPr>
        <w:t xml:space="preserve">content courses as well as </w:t>
      </w:r>
      <w:r w:rsidRPr="00456F5B">
        <w:rPr>
          <w:rFonts w:ascii="Tw Cen MT" w:hAnsi="Tw Cen MT"/>
        </w:rPr>
        <w:t>ELD (English Language Development) at the elementary level and EAP (English for Academic Purposes) at the middle and high school levels. By ensuring these areas are aligned, all students (especially ELL Level 3 and 4 learners) will improve their understanding of writing structures, processes, and related academic vocabulary.</w:t>
      </w:r>
    </w:p>
    <w:tbl>
      <w:tblPr>
        <w:tblStyle w:val="MediumGrid3-Accent1"/>
        <w:tblW w:w="13320" w:type="dxa"/>
        <w:tblInd w:w="-162" w:type="dxa"/>
        <w:tblLayout w:type="fixed"/>
        <w:tblLook w:val="04A0" w:firstRow="1" w:lastRow="0" w:firstColumn="1" w:lastColumn="0" w:noHBand="0" w:noVBand="1"/>
      </w:tblPr>
      <w:tblGrid>
        <w:gridCol w:w="810"/>
        <w:gridCol w:w="2979"/>
        <w:gridCol w:w="3177"/>
        <w:gridCol w:w="3177"/>
        <w:gridCol w:w="3177"/>
      </w:tblGrid>
      <w:tr w:rsidR="000F371C" w:rsidTr="00AF7B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rsidR="00695BEB" w:rsidRDefault="00695BEB" w:rsidP="00695BEB">
            <w:pPr>
              <w:jc w:val="center"/>
              <w:rPr>
                <w:rFonts w:ascii="Tw Cen MT" w:hAnsi="Tw Cen MT"/>
              </w:rPr>
            </w:pPr>
          </w:p>
        </w:tc>
        <w:tc>
          <w:tcPr>
            <w:tcW w:w="2979" w:type="dxa"/>
            <w:vAlign w:val="center"/>
          </w:tcPr>
          <w:p w:rsidR="00695BEB" w:rsidRPr="00EB2FC5" w:rsidRDefault="00695BEB" w:rsidP="0009274E">
            <w:pPr>
              <w:jc w:val="center"/>
              <w:cnfStyle w:val="100000000000" w:firstRow="1" w:lastRow="0" w:firstColumn="0" w:lastColumn="0" w:oddVBand="0" w:evenVBand="0" w:oddHBand="0" w:evenHBand="0" w:firstRowFirstColumn="0" w:firstRowLastColumn="0" w:lastRowFirstColumn="0" w:lastRowLastColumn="0"/>
              <w:rPr>
                <w:rFonts w:ascii="Tw Cen MT" w:hAnsi="Tw Cen MT"/>
                <w:sz w:val="24"/>
                <w:szCs w:val="24"/>
              </w:rPr>
            </w:pPr>
            <w:r w:rsidRPr="00EB2FC5">
              <w:rPr>
                <w:rFonts w:ascii="Tw Cen MT" w:hAnsi="Tw Cen MT"/>
                <w:sz w:val="24"/>
                <w:szCs w:val="24"/>
              </w:rPr>
              <w:t>Description</w:t>
            </w:r>
            <w:r w:rsidR="0009274E">
              <w:rPr>
                <w:rFonts w:ascii="Tw Cen MT" w:hAnsi="Tw Cen MT"/>
                <w:sz w:val="24"/>
                <w:szCs w:val="24"/>
              </w:rPr>
              <w:t xml:space="preserve"> of Genre</w:t>
            </w:r>
          </w:p>
        </w:tc>
        <w:tc>
          <w:tcPr>
            <w:tcW w:w="3177" w:type="dxa"/>
            <w:vAlign w:val="center"/>
          </w:tcPr>
          <w:p w:rsidR="00695BEB" w:rsidRPr="00EB2FC5" w:rsidRDefault="00695BEB" w:rsidP="0009274E">
            <w:pPr>
              <w:jc w:val="center"/>
              <w:cnfStyle w:val="100000000000" w:firstRow="1" w:lastRow="0" w:firstColumn="0" w:lastColumn="0" w:oddVBand="0" w:evenVBand="0" w:oddHBand="0" w:evenHBand="0" w:firstRowFirstColumn="0" w:firstRowLastColumn="0" w:lastRowFirstColumn="0" w:lastRowLastColumn="0"/>
              <w:rPr>
                <w:rFonts w:ascii="Tw Cen MT" w:hAnsi="Tw Cen MT"/>
                <w:sz w:val="24"/>
                <w:szCs w:val="24"/>
              </w:rPr>
            </w:pPr>
            <w:r w:rsidRPr="00EB2FC5">
              <w:rPr>
                <w:rFonts w:ascii="Tw Cen MT" w:hAnsi="Tw Cen MT"/>
                <w:sz w:val="24"/>
                <w:szCs w:val="24"/>
              </w:rPr>
              <w:t>Organization</w:t>
            </w:r>
          </w:p>
        </w:tc>
        <w:tc>
          <w:tcPr>
            <w:tcW w:w="3177" w:type="dxa"/>
            <w:vAlign w:val="center"/>
          </w:tcPr>
          <w:p w:rsidR="00695BEB" w:rsidRPr="00EB2FC5" w:rsidRDefault="00695BEB" w:rsidP="0009274E">
            <w:pPr>
              <w:jc w:val="center"/>
              <w:cnfStyle w:val="100000000000" w:firstRow="1" w:lastRow="0" w:firstColumn="0" w:lastColumn="0" w:oddVBand="0" w:evenVBand="0" w:oddHBand="0" w:evenHBand="0" w:firstRowFirstColumn="0" w:firstRowLastColumn="0" w:lastRowFirstColumn="0" w:lastRowLastColumn="0"/>
              <w:rPr>
                <w:rFonts w:ascii="Tw Cen MT" w:hAnsi="Tw Cen MT"/>
                <w:sz w:val="24"/>
                <w:szCs w:val="24"/>
              </w:rPr>
            </w:pPr>
            <w:r w:rsidRPr="00EB2FC5">
              <w:rPr>
                <w:rFonts w:ascii="Tw Cen MT" w:hAnsi="Tw Cen MT"/>
                <w:sz w:val="24"/>
                <w:szCs w:val="24"/>
              </w:rPr>
              <w:t>Transitional Expressions</w:t>
            </w:r>
          </w:p>
        </w:tc>
        <w:tc>
          <w:tcPr>
            <w:tcW w:w="3177" w:type="dxa"/>
            <w:vAlign w:val="center"/>
          </w:tcPr>
          <w:p w:rsidR="00695BEB" w:rsidRPr="00EB2FC5" w:rsidRDefault="00695BEB" w:rsidP="0009274E">
            <w:pPr>
              <w:jc w:val="center"/>
              <w:cnfStyle w:val="100000000000" w:firstRow="1" w:lastRow="0" w:firstColumn="0" w:lastColumn="0" w:oddVBand="0" w:evenVBand="0" w:oddHBand="0" w:evenHBand="0" w:firstRowFirstColumn="0" w:firstRowLastColumn="0" w:lastRowFirstColumn="0" w:lastRowLastColumn="0"/>
              <w:rPr>
                <w:rFonts w:ascii="Tw Cen MT" w:hAnsi="Tw Cen MT"/>
                <w:sz w:val="24"/>
                <w:szCs w:val="24"/>
              </w:rPr>
            </w:pPr>
            <w:r w:rsidRPr="00EB2FC5">
              <w:rPr>
                <w:rFonts w:ascii="Tw Cen MT" w:hAnsi="Tw Cen MT"/>
                <w:sz w:val="24"/>
                <w:szCs w:val="24"/>
              </w:rPr>
              <w:t>Other</w:t>
            </w:r>
          </w:p>
          <w:p w:rsidR="00695BEB" w:rsidRPr="00EB2FC5" w:rsidRDefault="00695BEB" w:rsidP="0009274E">
            <w:pPr>
              <w:jc w:val="center"/>
              <w:cnfStyle w:val="100000000000" w:firstRow="1" w:lastRow="0" w:firstColumn="0" w:lastColumn="0" w:oddVBand="0" w:evenVBand="0" w:oddHBand="0" w:evenHBand="0" w:firstRowFirstColumn="0" w:firstRowLastColumn="0" w:lastRowFirstColumn="0" w:lastRowLastColumn="0"/>
              <w:rPr>
                <w:rFonts w:ascii="Tw Cen MT" w:hAnsi="Tw Cen MT"/>
                <w:sz w:val="24"/>
                <w:szCs w:val="24"/>
              </w:rPr>
            </w:pPr>
            <w:r w:rsidRPr="00EB2FC5">
              <w:rPr>
                <w:rFonts w:ascii="Tw Cen MT" w:hAnsi="Tw Cen MT"/>
                <w:sz w:val="24"/>
                <w:szCs w:val="24"/>
              </w:rPr>
              <w:t>Language Features</w:t>
            </w:r>
          </w:p>
        </w:tc>
      </w:tr>
      <w:tr w:rsidR="0009274E" w:rsidTr="00AF7B5E">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810" w:type="dxa"/>
            <w:textDirection w:val="btLr"/>
            <w:vAlign w:val="center"/>
          </w:tcPr>
          <w:p w:rsidR="00695BEB" w:rsidRPr="00AF7B5E" w:rsidRDefault="00695BEB" w:rsidP="00AF7B5E">
            <w:pPr>
              <w:ind w:left="113" w:right="113"/>
              <w:jc w:val="center"/>
              <w:rPr>
                <w:rFonts w:ascii="Tw Cen MT" w:hAnsi="Tw Cen MT"/>
                <w:b w:val="0"/>
                <w:sz w:val="28"/>
                <w:szCs w:val="28"/>
              </w:rPr>
            </w:pPr>
            <w:r w:rsidRPr="00AF7B5E">
              <w:rPr>
                <w:rFonts w:ascii="Tw Cen MT" w:hAnsi="Tw Cen MT"/>
                <w:b w:val="0"/>
                <w:sz w:val="28"/>
                <w:szCs w:val="28"/>
              </w:rPr>
              <w:t>Description</w:t>
            </w:r>
          </w:p>
        </w:tc>
        <w:tc>
          <w:tcPr>
            <w:tcW w:w="2979" w:type="dxa"/>
          </w:tcPr>
          <w:p w:rsidR="00695BEB" w:rsidRPr="00705007" w:rsidRDefault="00695BEB" w:rsidP="00695BEB">
            <w:pPr>
              <w:numPr>
                <w:ilvl w:val="0"/>
                <w:numId w:val="2"/>
              </w:numPr>
              <w:tabs>
                <w:tab w:val="clear" w:pos="360"/>
                <w:tab w:val="num" w:pos="198"/>
              </w:tabs>
              <w:ind w:left="198" w:hanging="19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Describing a person, place, or thing using vivid details so that a reader can experience it.</w:t>
            </w:r>
          </w:p>
          <w:p w:rsidR="00695BEB" w:rsidRPr="00705007" w:rsidRDefault="00695BEB" w:rsidP="00695BEB">
            <w:pPr>
              <w:numPr>
                <w:ilvl w:val="0"/>
                <w:numId w:val="2"/>
              </w:numPr>
              <w:tabs>
                <w:tab w:val="clear" w:pos="360"/>
                <w:tab w:val="num" w:pos="198"/>
              </w:tabs>
              <w:ind w:left="198" w:hanging="19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Examples include personal reflection and memories of a significant person, place, or thing.</w:t>
            </w:r>
          </w:p>
          <w:p w:rsidR="00695BEB" w:rsidRPr="00705007" w:rsidRDefault="00695BEB" w:rsidP="00695BEB">
            <w:pPr>
              <w:numPr>
                <w:ilvl w:val="0"/>
                <w:numId w:val="2"/>
              </w:numPr>
              <w:tabs>
                <w:tab w:val="clear" w:pos="360"/>
                <w:tab w:val="num" w:pos="198"/>
              </w:tabs>
              <w:ind w:left="198" w:hanging="19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 xml:space="preserve">Examples can also use historical descriptions (e.g., a region, location, </w:t>
            </w:r>
            <w:proofErr w:type="gramStart"/>
            <w:r w:rsidRPr="00705007">
              <w:rPr>
                <w:rFonts w:ascii="Tw Cen MT" w:hAnsi="Tw Cen MT"/>
              </w:rPr>
              <w:t>event</w:t>
            </w:r>
            <w:proofErr w:type="gramEnd"/>
            <w:r w:rsidRPr="00705007">
              <w:rPr>
                <w:rFonts w:ascii="Tw Cen MT" w:hAnsi="Tw Cen MT"/>
              </w:rPr>
              <w:t>).</w:t>
            </w:r>
          </w:p>
        </w:tc>
        <w:tc>
          <w:tcPr>
            <w:tcW w:w="3177" w:type="dxa"/>
          </w:tcPr>
          <w:p w:rsidR="00695BEB" w:rsidRPr="00705007" w:rsidRDefault="00695BEB" w:rsidP="00695BEB">
            <w:pPr>
              <w:pStyle w:val="ListParagraph"/>
              <w:numPr>
                <w:ilvl w:val="0"/>
                <w:numId w:val="2"/>
              </w:numPr>
              <w:tabs>
                <w:tab w:val="clear" w:pos="360"/>
                <w:tab w:val="num" w:pos="175"/>
              </w:tabs>
              <w:ind w:left="175" w:hanging="175"/>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Creat</w:t>
            </w:r>
            <w:r w:rsidR="009B0870" w:rsidRPr="00705007">
              <w:rPr>
                <w:rFonts w:ascii="Tw Cen MT" w:hAnsi="Tw Cen MT"/>
              </w:rPr>
              <w:t>ing</w:t>
            </w:r>
            <w:r w:rsidRPr="00705007">
              <w:rPr>
                <w:rFonts w:ascii="Tw Cen MT" w:hAnsi="Tw Cen MT"/>
              </w:rPr>
              <w:t xml:space="preserve"> a controlling impression (i.e., </w:t>
            </w:r>
            <w:r w:rsidR="009B0870" w:rsidRPr="00705007">
              <w:rPr>
                <w:rFonts w:ascii="Tw Cen MT" w:hAnsi="Tw Cen MT"/>
              </w:rPr>
              <w:t>a unifying feeling or reaction from</w:t>
            </w:r>
            <w:r w:rsidRPr="00705007">
              <w:rPr>
                <w:rFonts w:ascii="Tw Cen MT" w:hAnsi="Tw Cen MT"/>
              </w:rPr>
              <w:t xml:space="preserve"> the reader).</w:t>
            </w:r>
          </w:p>
          <w:p w:rsidR="00695BEB" w:rsidRPr="00705007" w:rsidRDefault="00695BEB" w:rsidP="00695BEB">
            <w:pPr>
              <w:pStyle w:val="ListParagraph"/>
              <w:numPr>
                <w:ilvl w:val="0"/>
                <w:numId w:val="2"/>
              </w:numPr>
              <w:tabs>
                <w:tab w:val="clear" w:pos="360"/>
                <w:tab w:val="num" w:pos="175"/>
              </w:tabs>
              <w:ind w:left="175" w:hanging="175"/>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Us</w:t>
            </w:r>
            <w:r w:rsidR="009B0870" w:rsidRPr="00705007">
              <w:rPr>
                <w:rFonts w:ascii="Tw Cen MT" w:hAnsi="Tw Cen MT"/>
              </w:rPr>
              <w:t>ing</w:t>
            </w:r>
            <w:r w:rsidRPr="00705007">
              <w:rPr>
                <w:rFonts w:ascii="Tw Cen MT" w:hAnsi="Tw Cen MT"/>
              </w:rPr>
              <w:t xml:space="preserve"> sensory details (imagery involving sight, touch, sound, smell, taste).</w:t>
            </w:r>
          </w:p>
          <w:p w:rsidR="00695BEB" w:rsidRPr="00705007" w:rsidRDefault="00695BEB" w:rsidP="009B0870">
            <w:pPr>
              <w:pStyle w:val="ListParagraph"/>
              <w:numPr>
                <w:ilvl w:val="0"/>
                <w:numId w:val="2"/>
              </w:numPr>
              <w:tabs>
                <w:tab w:val="clear" w:pos="360"/>
                <w:tab w:val="num" w:pos="175"/>
              </w:tabs>
              <w:ind w:left="175" w:hanging="175"/>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Us</w:t>
            </w:r>
            <w:r w:rsidR="009B0870" w:rsidRPr="00705007">
              <w:rPr>
                <w:rFonts w:ascii="Tw Cen MT" w:hAnsi="Tw Cen MT"/>
              </w:rPr>
              <w:t>ing</w:t>
            </w:r>
            <w:r w:rsidRPr="00705007">
              <w:rPr>
                <w:rFonts w:ascii="Tw Cen MT" w:hAnsi="Tw Cen MT"/>
              </w:rPr>
              <w:t xml:space="preserve"> a coherent organizational pattern (sequential, spatial, order of importance, comparison/contrast.</w:t>
            </w:r>
          </w:p>
          <w:p w:rsidR="0009274E" w:rsidRPr="00705007" w:rsidRDefault="0009274E" w:rsidP="0009274E">
            <w:pPr>
              <w:pStyle w:val="ListParagraph"/>
              <w:ind w:left="175"/>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3177" w:type="dxa"/>
          </w:tcPr>
          <w:p w:rsidR="00695BEB" w:rsidRPr="00705007" w:rsidRDefault="00695BEB" w:rsidP="00695BEB">
            <w:pPr>
              <w:numPr>
                <w:ilvl w:val="0"/>
                <w:numId w:val="3"/>
              </w:numPr>
              <w:tabs>
                <w:tab w:val="clear" w:pos="360"/>
                <w:tab w:val="num" w:pos="247"/>
              </w:tabs>
              <w:ind w:left="254" w:hanging="254"/>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Sequential with time transition—e.g., first, second, next, finally.</w:t>
            </w:r>
          </w:p>
          <w:p w:rsidR="00695BEB" w:rsidRPr="00705007" w:rsidRDefault="00695BEB" w:rsidP="00695BEB">
            <w:pPr>
              <w:numPr>
                <w:ilvl w:val="0"/>
                <w:numId w:val="3"/>
              </w:numPr>
              <w:tabs>
                <w:tab w:val="clear" w:pos="360"/>
                <w:tab w:val="num" w:pos="247"/>
              </w:tabs>
              <w:ind w:left="254" w:hanging="254"/>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Spatial with space transitions—e.g., first, second, then, on one side, on the other side, finally.</w:t>
            </w:r>
          </w:p>
          <w:p w:rsidR="00695BEB" w:rsidRPr="00705007" w:rsidRDefault="00695BEB" w:rsidP="00695BEB">
            <w:pPr>
              <w:numPr>
                <w:ilvl w:val="0"/>
                <w:numId w:val="3"/>
              </w:numPr>
              <w:tabs>
                <w:tab w:val="clear" w:pos="360"/>
                <w:tab w:val="num" w:pos="247"/>
              </w:tabs>
              <w:ind w:left="254" w:hanging="254"/>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Order of importance (usually climactic order)—first, next, most importantly.</w:t>
            </w:r>
          </w:p>
          <w:p w:rsidR="00695BEB" w:rsidRPr="00705007" w:rsidRDefault="00695BEB" w:rsidP="00695BEB">
            <w:pPr>
              <w:numPr>
                <w:ilvl w:val="0"/>
                <w:numId w:val="3"/>
              </w:numPr>
              <w:tabs>
                <w:tab w:val="clear" w:pos="360"/>
                <w:tab w:val="num" w:pos="247"/>
              </w:tabs>
              <w:ind w:left="254" w:hanging="254"/>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Comparison/contrast—similarly, both, in contrast.</w:t>
            </w:r>
          </w:p>
        </w:tc>
        <w:tc>
          <w:tcPr>
            <w:tcW w:w="3177" w:type="dxa"/>
          </w:tcPr>
          <w:p w:rsidR="00695BEB" w:rsidRPr="00705007" w:rsidRDefault="00695BEB" w:rsidP="009B0870">
            <w:pPr>
              <w:pStyle w:val="ListParagraph"/>
              <w:numPr>
                <w:ilvl w:val="0"/>
                <w:numId w:val="3"/>
              </w:numPr>
              <w:ind w:left="261" w:hanging="261"/>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Vivid descriptive words and phrases.</w:t>
            </w:r>
          </w:p>
          <w:p w:rsidR="00695BEB" w:rsidRPr="00705007" w:rsidRDefault="00695BEB" w:rsidP="009B0870">
            <w:pPr>
              <w:pStyle w:val="ListParagraph"/>
              <w:numPr>
                <w:ilvl w:val="0"/>
                <w:numId w:val="3"/>
              </w:numPr>
              <w:ind w:left="261" w:hanging="261"/>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Appropriate and consistent tense.</w:t>
            </w:r>
          </w:p>
          <w:p w:rsidR="00695BEB" w:rsidRPr="00705007" w:rsidRDefault="00695BEB" w:rsidP="009B0870">
            <w:pPr>
              <w:pStyle w:val="ListParagraph"/>
              <w:numPr>
                <w:ilvl w:val="0"/>
                <w:numId w:val="3"/>
              </w:numPr>
              <w:ind w:left="261" w:hanging="261"/>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Point of view (first, second, third, limited v. omniscient).</w:t>
            </w:r>
          </w:p>
          <w:p w:rsidR="00695BEB" w:rsidRPr="00705007" w:rsidRDefault="00695BEB" w:rsidP="009B0870">
            <w:pPr>
              <w:pStyle w:val="ListParagraph"/>
              <w:numPr>
                <w:ilvl w:val="0"/>
                <w:numId w:val="3"/>
              </w:numPr>
              <w:ind w:left="261" w:hanging="261"/>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Varied sentence structure.</w:t>
            </w:r>
          </w:p>
          <w:p w:rsidR="00695BEB" w:rsidRPr="00705007" w:rsidRDefault="00695BEB" w:rsidP="009B0870">
            <w:pPr>
              <w:pStyle w:val="ListParagraph"/>
              <w:numPr>
                <w:ilvl w:val="0"/>
                <w:numId w:val="3"/>
              </w:numPr>
              <w:ind w:left="261" w:hanging="261"/>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 xml:space="preserve">Consistent tone and voice (e.g., </w:t>
            </w:r>
            <w:r w:rsidR="009B0870" w:rsidRPr="00705007">
              <w:rPr>
                <w:rFonts w:ascii="Tw Cen MT" w:hAnsi="Tw Cen MT"/>
              </w:rPr>
              <w:t xml:space="preserve">serious </w:t>
            </w:r>
            <w:r w:rsidRPr="00705007">
              <w:rPr>
                <w:rFonts w:ascii="Tw Cen MT" w:hAnsi="Tw Cen MT"/>
              </w:rPr>
              <w:t xml:space="preserve">objective, </w:t>
            </w:r>
            <w:r w:rsidR="009B0870" w:rsidRPr="00705007">
              <w:rPr>
                <w:rFonts w:ascii="Tw Cen MT" w:hAnsi="Tw Cen MT"/>
              </w:rPr>
              <w:t xml:space="preserve">critical, </w:t>
            </w:r>
            <w:r w:rsidRPr="00705007">
              <w:rPr>
                <w:rFonts w:ascii="Tw Cen MT" w:hAnsi="Tw Cen MT"/>
              </w:rPr>
              <w:t xml:space="preserve">subjective, </w:t>
            </w:r>
            <w:r w:rsidR="009B0870" w:rsidRPr="00705007">
              <w:rPr>
                <w:rFonts w:ascii="Tw Cen MT" w:hAnsi="Tw Cen MT"/>
              </w:rPr>
              <w:t>sarcastic, empathetic.)</w:t>
            </w:r>
          </w:p>
        </w:tc>
      </w:tr>
      <w:tr w:rsidR="009B0870" w:rsidTr="00AF7B5E">
        <w:trPr>
          <w:trHeight w:val="1134"/>
        </w:trPr>
        <w:tc>
          <w:tcPr>
            <w:cnfStyle w:val="001000000000" w:firstRow="0" w:lastRow="0" w:firstColumn="1" w:lastColumn="0" w:oddVBand="0" w:evenVBand="0" w:oddHBand="0" w:evenHBand="0" w:firstRowFirstColumn="0" w:firstRowLastColumn="0" w:lastRowFirstColumn="0" w:lastRowLastColumn="0"/>
            <w:tcW w:w="810" w:type="dxa"/>
            <w:textDirection w:val="btLr"/>
            <w:vAlign w:val="center"/>
          </w:tcPr>
          <w:p w:rsidR="009B0870" w:rsidRPr="00AF7B5E" w:rsidRDefault="009B0870" w:rsidP="00AF7B5E">
            <w:pPr>
              <w:ind w:left="113" w:right="113"/>
              <w:jc w:val="center"/>
              <w:rPr>
                <w:rFonts w:ascii="Tw Cen MT" w:hAnsi="Tw Cen MT"/>
                <w:b w:val="0"/>
                <w:sz w:val="28"/>
                <w:szCs w:val="28"/>
              </w:rPr>
            </w:pPr>
            <w:r w:rsidRPr="00AF7B5E">
              <w:rPr>
                <w:rFonts w:ascii="Tw Cen MT" w:hAnsi="Tw Cen MT"/>
                <w:b w:val="0"/>
                <w:sz w:val="28"/>
                <w:szCs w:val="28"/>
              </w:rPr>
              <w:t>Narrative Nonfiction</w:t>
            </w:r>
          </w:p>
        </w:tc>
        <w:tc>
          <w:tcPr>
            <w:tcW w:w="2979" w:type="dxa"/>
          </w:tcPr>
          <w:p w:rsidR="009B0870" w:rsidRPr="00705007" w:rsidRDefault="009B0870" w:rsidP="009B0870">
            <w:pPr>
              <w:pStyle w:val="ListParagraph"/>
              <w:numPr>
                <w:ilvl w:val="0"/>
                <w:numId w:val="5"/>
              </w:numPr>
              <w:ind w:left="162" w:hanging="162"/>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Telling a story (with a clear beginning, middle, and ending) about real-life events and characters to help the reader experience what happened.</w:t>
            </w:r>
          </w:p>
          <w:p w:rsidR="009B0870" w:rsidRPr="00705007" w:rsidRDefault="009B0870" w:rsidP="009B0870">
            <w:pPr>
              <w:pStyle w:val="ListParagraph"/>
              <w:numPr>
                <w:ilvl w:val="0"/>
                <w:numId w:val="5"/>
              </w:numPr>
              <w:ind w:left="162" w:hanging="162"/>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Examples include biographies, autobiographies, memoirs, and research-based retellings of historical events or historical figures.</w:t>
            </w:r>
          </w:p>
        </w:tc>
        <w:tc>
          <w:tcPr>
            <w:tcW w:w="3177" w:type="dxa"/>
          </w:tcPr>
          <w:p w:rsidR="009B0870" w:rsidRPr="00705007" w:rsidRDefault="009B0870" w:rsidP="009B0870">
            <w:pPr>
              <w:numPr>
                <w:ilvl w:val="0"/>
                <w:numId w:val="6"/>
              </w:numPr>
              <w:tabs>
                <w:tab w:val="clear" w:pos="360"/>
                <w:tab w:val="num" w:pos="230"/>
              </w:tabs>
              <w:ind w:left="230" w:hanging="230"/>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Presenting a sequentially organized series of events extending from a conflict or problem.</w:t>
            </w:r>
          </w:p>
          <w:p w:rsidR="009B0870" w:rsidRPr="00705007" w:rsidRDefault="009B0870" w:rsidP="0009274E">
            <w:pPr>
              <w:numPr>
                <w:ilvl w:val="0"/>
                <w:numId w:val="6"/>
              </w:numPr>
              <w:tabs>
                <w:tab w:val="clear" w:pos="360"/>
                <w:tab w:val="num" w:pos="230"/>
              </w:tabs>
              <w:ind w:left="230" w:hanging="230"/>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Organization should include: exposition (background details); complication (introduction of the conflict); rising action (the bulk of the narrative); turning point (the event or events leading to the climax); climax (high poi</w:t>
            </w:r>
            <w:r w:rsidR="0009274E" w:rsidRPr="00705007">
              <w:rPr>
                <w:rFonts w:ascii="Tw Cen MT" w:hAnsi="Tw Cen MT"/>
              </w:rPr>
              <w:t>nt); and resolution.</w:t>
            </w:r>
          </w:p>
        </w:tc>
        <w:tc>
          <w:tcPr>
            <w:tcW w:w="3177" w:type="dxa"/>
          </w:tcPr>
          <w:p w:rsidR="009B0870" w:rsidRPr="00705007" w:rsidRDefault="009B0870" w:rsidP="009B0870">
            <w:pPr>
              <w:numPr>
                <w:ilvl w:val="0"/>
                <w:numId w:val="7"/>
              </w:numPr>
              <w:tabs>
                <w:tab w:val="clear" w:pos="360"/>
                <w:tab w:val="num" w:pos="297"/>
              </w:tabs>
              <w:ind w:left="297" w:hanging="297"/>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Expressions of time passing—first, next, finally, one day, once upon a time, later, in the end.</w:t>
            </w:r>
          </w:p>
          <w:p w:rsidR="009B0870" w:rsidRPr="00705007" w:rsidRDefault="009B0870" w:rsidP="00253F46">
            <w:pPr>
              <w:ind w:left="65"/>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3177" w:type="dxa"/>
          </w:tcPr>
          <w:p w:rsidR="009B0870" w:rsidRPr="00705007" w:rsidRDefault="009B0870" w:rsidP="000F371C">
            <w:pPr>
              <w:pStyle w:val="ListParagraph"/>
              <w:numPr>
                <w:ilvl w:val="0"/>
                <w:numId w:val="7"/>
              </w:numPr>
              <w:tabs>
                <w:tab w:val="clear" w:pos="360"/>
                <w:tab w:val="num" w:pos="293"/>
              </w:tabs>
              <w:ind w:left="293" w:hanging="29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Usually written in first (I, we) or third person (she, he, it, they) point of view.</w:t>
            </w:r>
          </w:p>
          <w:p w:rsidR="009B0870" w:rsidRPr="00705007" w:rsidRDefault="009B0870" w:rsidP="000F371C">
            <w:pPr>
              <w:pStyle w:val="ListParagraph"/>
              <w:numPr>
                <w:ilvl w:val="0"/>
                <w:numId w:val="7"/>
              </w:numPr>
              <w:tabs>
                <w:tab w:val="clear" w:pos="360"/>
                <w:tab w:val="num" w:pos="293"/>
              </w:tabs>
              <w:ind w:left="293" w:hanging="29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Uses past and present tense.</w:t>
            </w:r>
          </w:p>
          <w:p w:rsidR="009B0870" w:rsidRPr="00705007" w:rsidRDefault="009B0870" w:rsidP="000F371C">
            <w:pPr>
              <w:pStyle w:val="ListParagraph"/>
              <w:numPr>
                <w:ilvl w:val="0"/>
                <w:numId w:val="7"/>
              </w:numPr>
              <w:tabs>
                <w:tab w:val="clear" w:pos="360"/>
                <w:tab w:val="num" w:pos="293"/>
              </w:tabs>
              <w:ind w:left="293" w:hanging="29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Consistent use of action verbs—e.g., exclaimed, shouted, cried, ran, charged.</w:t>
            </w:r>
          </w:p>
          <w:p w:rsidR="009B0870" w:rsidRPr="00705007" w:rsidRDefault="009B0870" w:rsidP="000F371C">
            <w:pPr>
              <w:pStyle w:val="ListParagraph"/>
              <w:numPr>
                <w:ilvl w:val="0"/>
                <w:numId w:val="7"/>
              </w:numPr>
              <w:tabs>
                <w:tab w:val="clear" w:pos="360"/>
                <w:tab w:val="num" w:pos="293"/>
              </w:tabs>
              <w:ind w:left="293" w:hanging="29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Ongoing use of descriptive words and phrases.</w:t>
            </w:r>
          </w:p>
          <w:p w:rsidR="009B0870" w:rsidRPr="00705007" w:rsidRDefault="009B0870" w:rsidP="000F371C">
            <w:pPr>
              <w:pStyle w:val="ListParagraph"/>
              <w:numPr>
                <w:ilvl w:val="0"/>
                <w:numId w:val="7"/>
              </w:numPr>
              <w:tabs>
                <w:tab w:val="clear" w:pos="360"/>
                <w:tab w:val="num" w:pos="293"/>
              </w:tabs>
              <w:ind w:left="293" w:hanging="29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 xml:space="preserve">Varied sentence structure. </w:t>
            </w:r>
          </w:p>
          <w:p w:rsidR="009B0870" w:rsidRPr="00705007" w:rsidRDefault="009B0870" w:rsidP="000F371C">
            <w:pPr>
              <w:pStyle w:val="ListParagraph"/>
              <w:numPr>
                <w:ilvl w:val="0"/>
                <w:numId w:val="7"/>
              </w:numPr>
              <w:tabs>
                <w:tab w:val="clear" w:pos="360"/>
                <w:tab w:val="num" w:pos="293"/>
              </w:tabs>
              <w:ind w:left="293" w:hanging="29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Use of dialogue (with appropriate punctuation).</w:t>
            </w:r>
          </w:p>
        </w:tc>
      </w:tr>
      <w:tr w:rsidR="00AF7B5E" w:rsidTr="00AF7B5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10" w:type="dxa"/>
            <w:textDirection w:val="btLr"/>
            <w:vAlign w:val="center"/>
          </w:tcPr>
          <w:p w:rsidR="0009274E" w:rsidRPr="00AF7B5E" w:rsidRDefault="0009274E" w:rsidP="00AF7B5E">
            <w:pPr>
              <w:ind w:left="113" w:right="113"/>
              <w:jc w:val="center"/>
              <w:rPr>
                <w:rFonts w:ascii="Tw Cen MT" w:hAnsi="Tw Cen MT"/>
                <w:b w:val="0"/>
                <w:sz w:val="28"/>
                <w:szCs w:val="28"/>
              </w:rPr>
            </w:pPr>
            <w:r w:rsidRPr="00AF7B5E">
              <w:rPr>
                <w:rFonts w:ascii="Tw Cen MT" w:hAnsi="Tw Cen MT"/>
                <w:b w:val="0"/>
                <w:sz w:val="28"/>
                <w:szCs w:val="28"/>
              </w:rPr>
              <w:lastRenderedPageBreak/>
              <w:t>Narrative Fiction</w:t>
            </w:r>
          </w:p>
        </w:tc>
        <w:tc>
          <w:tcPr>
            <w:tcW w:w="2979" w:type="dxa"/>
          </w:tcPr>
          <w:p w:rsidR="0009274E" w:rsidRPr="00705007" w:rsidRDefault="0009274E" w:rsidP="0009274E">
            <w:pPr>
              <w:numPr>
                <w:ilvl w:val="0"/>
                <w:numId w:val="8"/>
              </w:numPr>
              <w:tabs>
                <w:tab w:val="clear" w:pos="720"/>
              </w:tabs>
              <w:ind w:left="270" w:hanging="205"/>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Developing a story (about characters created by the author) with a clear beginning, middle, and ending.</w:t>
            </w:r>
          </w:p>
          <w:p w:rsidR="0009274E" w:rsidRPr="00705007" w:rsidRDefault="0009274E" w:rsidP="0009274E">
            <w:pPr>
              <w:numPr>
                <w:ilvl w:val="0"/>
                <w:numId w:val="8"/>
              </w:numPr>
              <w:tabs>
                <w:tab w:val="clear" w:pos="720"/>
              </w:tabs>
              <w:ind w:left="270" w:hanging="205"/>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Engaging and entertaining the reader with experiences centered on a theme or themes.</w:t>
            </w:r>
          </w:p>
          <w:p w:rsidR="0009274E" w:rsidRPr="00705007" w:rsidRDefault="0009274E" w:rsidP="0009274E">
            <w:pPr>
              <w:numPr>
                <w:ilvl w:val="0"/>
                <w:numId w:val="8"/>
              </w:numPr>
              <w:tabs>
                <w:tab w:val="clear" w:pos="720"/>
              </w:tabs>
              <w:ind w:left="270" w:hanging="205"/>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Presenting and developing the narrative around one or more conflicts experienced by the main character(s).</w:t>
            </w:r>
          </w:p>
          <w:p w:rsidR="0009274E" w:rsidRPr="00705007" w:rsidRDefault="0009274E" w:rsidP="0009274E">
            <w:pPr>
              <w:numPr>
                <w:ilvl w:val="0"/>
                <w:numId w:val="8"/>
              </w:numPr>
              <w:tabs>
                <w:tab w:val="clear" w:pos="720"/>
              </w:tabs>
              <w:ind w:left="270" w:hanging="205"/>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Examples can include short stories, novellas, fables, fairy tales, myths, legends, realistic fiction, and tales of fantasy and science fiction.</w:t>
            </w:r>
          </w:p>
          <w:p w:rsidR="0009274E" w:rsidRPr="00705007" w:rsidRDefault="0009274E" w:rsidP="0009274E">
            <w:pPr>
              <w:ind w:left="270"/>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3177" w:type="dxa"/>
          </w:tcPr>
          <w:p w:rsidR="0009274E" w:rsidRPr="00705007" w:rsidRDefault="0009274E" w:rsidP="0009274E">
            <w:pPr>
              <w:numPr>
                <w:ilvl w:val="0"/>
                <w:numId w:val="1"/>
              </w:numPr>
              <w:tabs>
                <w:tab w:val="clear" w:pos="720"/>
              </w:tabs>
              <w:ind w:left="248" w:hanging="183"/>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Presenting a sequentially organized series of events extending from a conflict or problem.</w:t>
            </w:r>
          </w:p>
          <w:p w:rsidR="0009274E" w:rsidRPr="00705007" w:rsidRDefault="0009274E" w:rsidP="0009274E">
            <w:pPr>
              <w:numPr>
                <w:ilvl w:val="0"/>
                <w:numId w:val="8"/>
              </w:numPr>
              <w:tabs>
                <w:tab w:val="clear" w:pos="720"/>
              </w:tabs>
              <w:ind w:left="248" w:hanging="183"/>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Organization should include: exposition (background details); complication (introduction of the conflict); rising action (the bulk of the narrative); turning point (the event or events leading to the climax); climax (high point); and resolution (tying up of loose ends).</w:t>
            </w:r>
          </w:p>
        </w:tc>
        <w:tc>
          <w:tcPr>
            <w:tcW w:w="3177" w:type="dxa"/>
          </w:tcPr>
          <w:p w:rsidR="0009274E" w:rsidRPr="00705007" w:rsidRDefault="0009274E" w:rsidP="0009274E">
            <w:pPr>
              <w:numPr>
                <w:ilvl w:val="0"/>
                <w:numId w:val="8"/>
              </w:numPr>
              <w:tabs>
                <w:tab w:val="clear" w:pos="720"/>
              </w:tabs>
              <w:ind w:left="225" w:hanging="210"/>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Expressions of time passing—first, next, finally, one day, once upon a time, later, in the end.</w:t>
            </w:r>
          </w:p>
          <w:p w:rsidR="0009274E" w:rsidRPr="00705007" w:rsidRDefault="0009274E" w:rsidP="00253F46">
            <w:pPr>
              <w:ind w:left="65"/>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3177" w:type="dxa"/>
          </w:tcPr>
          <w:p w:rsidR="0009274E" w:rsidRPr="00705007" w:rsidRDefault="0009274E" w:rsidP="0009274E">
            <w:pPr>
              <w:numPr>
                <w:ilvl w:val="0"/>
                <w:numId w:val="1"/>
              </w:numPr>
              <w:tabs>
                <w:tab w:val="clear" w:pos="720"/>
              </w:tabs>
              <w:ind w:left="293" w:hanging="22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Usually written in first (I, we) or third person (she, he, it, they) point of view.</w:t>
            </w:r>
          </w:p>
          <w:p w:rsidR="0009274E" w:rsidRPr="00705007" w:rsidRDefault="0009274E" w:rsidP="0009274E">
            <w:pPr>
              <w:numPr>
                <w:ilvl w:val="0"/>
                <w:numId w:val="1"/>
              </w:numPr>
              <w:tabs>
                <w:tab w:val="clear" w:pos="720"/>
              </w:tabs>
              <w:ind w:left="293" w:hanging="22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Uses past and present tense.</w:t>
            </w:r>
          </w:p>
          <w:p w:rsidR="0009274E" w:rsidRPr="00705007" w:rsidRDefault="0009274E" w:rsidP="0009274E">
            <w:pPr>
              <w:numPr>
                <w:ilvl w:val="0"/>
                <w:numId w:val="1"/>
              </w:numPr>
              <w:tabs>
                <w:tab w:val="clear" w:pos="720"/>
              </w:tabs>
              <w:ind w:left="293" w:hanging="22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Consistent use of action verbs—e.g., exclaimed, shouted, cried, ran, charged.</w:t>
            </w:r>
          </w:p>
          <w:p w:rsidR="0009274E" w:rsidRPr="00705007" w:rsidRDefault="0009274E" w:rsidP="0009274E">
            <w:pPr>
              <w:numPr>
                <w:ilvl w:val="0"/>
                <w:numId w:val="1"/>
              </w:numPr>
              <w:tabs>
                <w:tab w:val="clear" w:pos="720"/>
              </w:tabs>
              <w:ind w:left="293" w:hanging="22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Ongoing use of descriptive words and phrases.</w:t>
            </w:r>
          </w:p>
          <w:p w:rsidR="0009274E" w:rsidRPr="00705007" w:rsidRDefault="0009274E" w:rsidP="0009274E">
            <w:pPr>
              <w:numPr>
                <w:ilvl w:val="0"/>
                <w:numId w:val="1"/>
              </w:numPr>
              <w:tabs>
                <w:tab w:val="clear" w:pos="720"/>
              </w:tabs>
              <w:ind w:left="293" w:hanging="22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 xml:space="preserve">Varied sentence structure. </w:t>
            </w:r>
          </w:p>
          <w:p w:rsidR="0009274E" w:rsidRPr="00705007" w:rsidRDefault="0009274E" w:rsidP="0009274E">
            <w:pPr>
              <w:numPr>
                <w:ilvl w:val="0"/>
                <w:numId w:val="8"/>
              </w:numPr>
              <w:tabs>
                <w:tab w:val="clear" w:pos="720"/>
              </w:tabs>
              <w:ind w:left="293" w:hanging="228"/>
              <w:cnfStyle w:val="000000100000" w:firstRow="0" w:lastRow="0" w:firstColumn="0" w:lastColumn="0" w:oddVBand="0" w:evenVBand="0" w:oddHBand="1" w:evenHBand="0" w:firstRowFirstColumn="0" w:firstRowLastColumn="0" w:lastRowFirstColumn="0" w:lastRowLastColumn="0"/>
              <w:rPr>
                <w:rFonts w:ascii="Tw Cen MT" w:hAnsi="Tw Cen MT"/>
              </w:rPr>
            </w:pPr>
            <w:r w:rsidRPr="00705007">
              <w:rPr>
                <w:rFonts w:ascii="Tw Cen MT" w:hAnsi="Tw Cen MT"/>
              </w:rPr>
              <w:t>Use of dialogue (with appropriate punctuation).</w:t>
            </w:r>
          </w:p>
        </w:tc>
      </w:tr>
      <w:tr w:rsidR="00AF7B5E" w:rsidTr="00AF7B5E">
        <w:trPr>
          <w:trHeight w:val="1934"/>
        </w:trPr>
        <w:tc>
          <w:tcPr>
            <w:cnfStyle w:val="001000000000" w:firstRow="0" w:lastRow="0" w:firstColumn="1" w:lastColumn="0" w:oddVBand="0" w:evenVBand="0" w:oddHBand="0" w:evenHBand="0" w:firstRowFirstColumn="0" w:firstRowLastColumn="0" w:lastRowFirstColumn="0" w:lastRowLastColumn="0"/>
            <w:tcW w:w="810" w:type="dxa"/>
            <w:textDirection w:val="btLr"/>
            <w:vAlign w:val="center"/>
          </w:tcPr>
          <w:p w:rsidR="0009274E" w:rsidRPr="00AF7B5E" w:rsidRDefault="0009274E" w:rsidP="00AF7B5E">
            <w:pPr>
              <w:ind w:left="113" w:right="113"/>
              <w:jc w:val="center"/>
              <w:rPr>
                <w:rFonts w:ascii="Tw Cen MT" w:hAnsi="Tw Cen MT"/>
                <w:b w:val="0"/>
                <w:sz w:val="28"/>
                <w:szCs w:val="28"/>
              </w:rPr>
            </w:pPr>
            <w:r w:rsidRPr="00AF7B5E">
              <w:rPr>
                <w:rFonts w:ascii="Tw Cen MT" w:hAnsi="Tw Cen MT"/>
                <w:b w:val="0"/>
                <w:sz w:val="28"/>
                <w:szCs w:val="28"/>
              </w:rPr>
              <w:t>Expository/ Informative: Supporting a Thesis</w:t>
            </w:r>
          </w:p>
        </w:tc>
        <w:tc>
          <w:tcPr>
            <w:tcW w:w="2979" w:type="dxa"/>
          </w:tcPr>
          <w:p w:rsidR="0009274E" w:rsidRPr="00705007" w:rsidRDefault="0009274E" w:rsidP="0009274E">
            <w:pPr>
              <w:numPr>
                <w:ilvl w:val="0"/>
                <w:numId w:val="8"/>
              </w:numPr>
              <w:tabs>
                <w:tab w:val="clear" w:pos="720"/>
              </w:tabs>
              <w:ind w:left="270" w:hanging="205"/>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Supporting a thesis (the main idea to be proven) or a claim (an argument to be proven or disproven with empirical evidence).</w:t>
            </w:r>
          </w:p>
          <w:p w:rsidR="0009274E" w:rsidRPr="00705007" w:rsidRDefault="0009274E" w:rsidP="0009274E">
            <w:pPr>
              <w:numPr>
                <w:ilvl w:val="0"/>
                <w:numId w:val="8"/>
              </w:numPr>
              <w:tabs>
                <w:tab w:val="clear" w:pos="720"/>
              </w:tabs>
              <w:ind w:left="270" w:hanging="205"/>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Examples include a multi-paragraph essay supporting a thesis, an essay of literary analysis, or a research paper.</w:t>
            </w:r>
          </w:p>
        </w:tc>
        <w:tc>
          <w:tcPr>
            <w:tcW w:w="3177" w:type="dxa"/>
          </w:tcPr>
          <w:p w:rsidR="0009274E" w:rsidRPr="00705007" w:rsidRDefault="0009274E" w:rsidP="0009274E">
            <w:pPr>
              <w:numPr>
                <w:ilvl w:val="0"/>
                <w:numId w:val="8"/>
              </w:numPr>
              <w:tabs>
                <w:tab w:val="clear" w:pos="720"/>
              </w:tabs>
              <w:ind w:left="248" w:hanging="18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Introduction (with thesis statement).</w:t>
            </w:r>
          </w:p>
          <w:p w:rsidR="0009274E" w:rsidRPr="00705007" w:rsidRDefault="0009274E" w:rsidP="0009274E">
            <w:pPr>
              <w:numPr>
                <w:ilvl w:val="0"/>
                <w:numId w:val="8"/>
              </w:numPr>
              <w:tabs>
                <w:tab w:val="clear" w:pos="720"/>
              </w:tabs>
              <w:ind w:left="248" w:hanging="18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Body paragraphs with topic sentences that relate back to and support the thesis statement.</w:t>
            </w:r>
          </w:p>
          <w:p w:rsidR="0009274E" w:rsidRPr="00705007" w:rsidRDefault="0009274E" w:rsidP="0009274E">
            <w:pPr>
              <w:numPr>
                <w:ilvl w:val="0"/>
                <w:numId w:val="8"/>
              </w:numPr>
              <w:tabs>
                <w:tab w:val="clear" w:pos="720"/>
              </w:tabs>
              <w:ind w:left="248" w:hanging="18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Supporting evidence used throughout the essay (e.g., facts, examples, explanations, illustrations, quotes, statistics, tables, graphs, models).</w:t>
            </w:r>
          </w:p>
          <w:p w:rsidR="0009274E" w:rsidRPr="00705007" w:rsidRDefault="0009274E" w:rsidP="0009274E">
            <w:pPr>
              <w:numPr>
                <w:ilvl w:val="0"/>
                <w:numId w:val="8"/>
              </w:numPr>
              <w:tabs>
                <w:tab w:val="clear" w:pos="720"/>
              </w:tabs>
              <w:ind w:left="248" w:hanging="183"/>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A concluding paragraph that recaps or synthesizes the essay’s thesis.</w:t>
            </w:r>
          </w:p>
        </w:tc>
        <w:tc>
          <w:tcPr>
            <w:tcW w:w="3177" w:type="dxa"/>
          </w:tcPr>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Expository organizing words and phrases—also, and, another example, similarly, therefore, however, finally, in conclusion.</w:t>
            </w:r>
          </w:p>
        </w:tc>
        <w:tc>
          <w:tcPr>
            <w:tcW w:w="3177" w:type="dxa"/>
          </w:tcPr>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Tone and voice should be objective and factual in approach.</w:t>
            </w:r>
          </w:p>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Extensive use of factual evidence (including textual references) to defend and support the thesis.</w:t>
            </w:r>
          </w:p>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rPr>
            </w:pPr>
            <w:r w:rsidRPr="00705007">
              <w:rPr>
                <w:rFonts w:ascii="Tw Cen MT" w:hAnsi="Tw Cen MT"/>
              </w:rPr>
              <w:t>Extensive use of technical vocabulary, as appropriate.</w:t>
            </w:r>
          </w:p>
        </w:tc>
      </w:tr>
      <w:tr w:rsidR="00AF7B5E" w:rsidTr="00AF7B5E">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810" w:type="dxa"/>
            <w:textDirection w:val="btLr"/>
            <w:vAlign w:val="center"/>
          </w:tcPr>
          <w:p w:rsidR="0009274E" w:rsidRPr="00AF7B5E" w:rsidRDefault="0009274E" w:rsidP="00AF7B5E">
            <w:pPr>
              <w:ind w:left="113" w:right="113"/>
              <w:jc w:val="center"/>
              <w:rPr>
                <w:rFonts w:ascii="Tw Cen MT" w:hAnsi="Tw Cen MT"/>
                <w:b w:val="0"/>
                <w:sz w:val="28"/>
                <w:szCs w:val="28"/>
              </w:rPr>
            </w:pPr>
            <w:r w:rsidRPr="00AF7B5E">
              <w:rPr>
                <w:rFonts w:ascii="Tw Cen MT" w:hAnsi="Tw Cen MT"/>
                <w:b w:val="0"/>
                <w:sz w:val="28"/>
                <w:szCs w:val="28"/>
              </w:rPr>
              <w:lastRenderedPageBreak/>
              <w:t>Expository/Informative:</w:t>
            </w:r>
          </w:p>
          <w:p w:rsidR="0009274E" w:rsidRPr="00AF7B5E" w:rsidRDefault="0009274E" w:rsidP="00AF7B5E">
            <w:pPr>
              <w:ind w:left="113" w:right="113"/>
              <w:jc w:val="center"/>
              <w:rPr>
                <w:rFonts w:ascii="Tw Cen MT" w:hAnsi="Tw Cen MT"/>
                <w:b w:val="0"/>
                <w:sz w:val="28"/>
                <w:szCs w:val="28"/>
              </w:rPr>
            </w:pPr>
            <w:r w:rsidRPr="00AF7B5E">
              <w:rPr>
                <w:rFonts w:ascii="Tw Cen MT" w:hAnsi="Tw Cen MT"/>
                <w:b w:val="0"/>
                <w:sz w:val="28"/>
                <w:szCs w:val="28"/>
              </w:rPr>
              <w:t>Explaining a Procedure</w:t>
            </w:r>
          </w:p>
        </w:tc>
        <w:tc>
          <w:tcPr>
            <w:tcW w:w="2979" w:type="dxa"/>
          </w:tcPr>
          <w:p w:rsidR="0009274E" w:rsidRPr="00705007" w:rsidRDefault="0009274E" w:rsidP="0009274E">
            <w:pPr>
              <w:numPr>
                <w:ilvl w:val="0"/>
                <w:numId w:val="8"/>
              </w:numPr>
              <w:tabs>
                <w:tab w:val="clear" w:pos="720"/>
              </w:tabs>
              <w:ind w:left="252" w:hanging="187"/>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Explain how to do something (including expanding on steps in how to solve a problem, make a decision, or complete a process).</w:t>
            </w:r>
          </w:p>
          <w:p w:rsidR="0009274E" w:rsidRPr="00705007" w:rsidRDefault="0009274E" w:rsidP="0009274E">
            <w:pPr>
              <w:numPr>
                <w:ilvl w:val="0"/>
                <w:numId w:val="8"/>
              </w:numPr>
              <w:tabs>
                <w:tab w:val="clear" w:pos="720"/>
              </w:tabs>
              <w:ind w:left="252" w:hanging="187"/>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Examples include explaining how to complete a procedure, how you completed a math problem, how you used a lab to support or negate a hypothesis, how to complete a significant procedure or process, or how a political process works.</w:t>
            </w:r>
          </w:p>
        </w:tc>
        <w:tc>
          <w:tcPr>
            <w:tcW w:w="3177" w:type="dxa"/>
          </w:tcPr>
          <w:p w:rsidR="0009274E" w:rsidRPr="00705007" w:rsidRDefault="0009274E" w:rsidP="0009274E">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Statement of purpose (goal for the essay), including reinforcing the value or reason for learning to complete the sequence.</w:t>
            </w:r>
          </w:p>
          <w:p w:rsidR="0009274E" w:rsidRPr="00705007" w:rsidRDefault="0009274E" w:rsidP="0009274E">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Steps in the sequence (with accompanying explanations for each step).</w:t>
            </w:r>
          </w:p>
          <w:p w:rsidR="0009274E" w:rsidRPr="00705007" w:rsidRDefault="0009274E" w:rsidP="0009274E">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Conclusion revisiting the goal or central purpose of the essay.</w:t>
            </w:r>
          </w:p>
        </w:tc>
        <w:tc>
          <w:tcPr>
            <w:tcW w:w="3177" w:type="dxa"/>
          </w:tcPr>
          <w:p w:rsidR="0009274E" w:rsidRPr="00705007" w:rsidRDefault="0009274E" w:rsidP="0009274E">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Sequencing words and phrases that reinforce the steps in the procedure—first, second, third, finally, in conclusion, perhaps most importantly.</w:t>
            </w:r>
          </w:p>
          <w:p w:rsidR="0009274E" w:rsidRPr="00705007" w:rsidRDefault="0009274E" w:rsidP="0009274E">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If-then structures (especially useful for math and science).</w:t>
            </w:r>
          </w:p>
        </w:tc>
        <w:tc>
          <w:tcPr>
            <w:tcW w:w="3177" w:type="dxa"/>
          </w:tcPr>
          <w:p w:rsidR="0009274E" w:rsidRPr="00705007" w:rsidRDefault="0009274E" w:rsidP="00705007">
            <w:pPr>
              <w:numPr>
                <w:ilvl w:val="0"/>
                <w:numId w:val="8"/>
              </w:numPr>
              <w:tabs>
                <w:tab w:val="clear" w:pos="720"/>
              </w:tabs>
              <w:ind w:left="279" w:hanging="214"/>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Detailed factual descriptions with clear technical language (to help the reader visualize and experience the sequence).</w:t>
            </w:r>
          </w:p>
          <w:p w:rsidR="0009274E" w:rsidRPr="00705007" w:rsidRDefault="0009274E" w:rsidP="00705007">
            <w:pPr>
              <w:numPr>
                <w:ilvl w:val="0"/>
                <w:numId w:val="8"/>
              </w:numPr>
              <w:tabs>
                <w:tab w:val="clear" w:pos="720"/>
              </w:tabs>
              <w:ind w:left="279" w:hanging="214"/>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Uses verbs to give instructions to the reader—e.g., take, add, mix, chop, simplify.</w:t>
            </w:r>
          </w:p>
          <w:p w:rsidR="0009274E" w:rsidRPr="00705007" w:rsidRDefault="0009274E" w:rsidP="00705007">
            <w:pPr>
              <w:numPr>
                <w:ilvl w:val="0"/>
                <w:numId w:val="8"/>
              </w:numPr>
              <w:tabs>
                <w:tab w:val="clear" w:pos="720"/>
              </w:tabs>
              <w:ind w:left="279" w:hanging="214"/>
              <w:cnfStyle w:val="000000100000" w:firstRow="0" w:lastRow="0" w:firstColumn="0" w:lastColumn="0" w:oddVBand="0" w:evenVBand="0" w:oddHBand="1" w:evenHBand="0" w:firstRowFirstColumn="0" w:firstRowLastColumn="0" w:lastRowFirstColumn="0" w:lastRowLastColumn="0"/>
              <w:rPr>
                <w:rFonts w:ascii="Tw Cen MT" w:hAnsi="Tw Cen MT"/>
                <w:sz w:val="21"/>
                <w:szCs w:val="21"/>
              </w:rPr>
            </w:pPr>
            <w:r w:rsidRPr="00705007">
              <w:rPr>
                <w:rFonts w:ascii="Tw Cen MT" w:hAnsi="Tw Cen MT"/>
                <w:sz w:val="21"/>
                <w:szCs w:val="21"/>
              </w:rPr>
              <w:t>Modals (auxiliary verbs that show likelihood, probability, permission, or obligation) should be used to show the importance of following the recommended sequence)—e.g., should, must, have to, ought to.</w:t>
            </w:r>
          </w:p>
        </w:tc>
      </w:tr>
      <w:tr w:rsidR="00AF7B5E" w:rsidTr="00AF7B5E">
        <w:trPr>
          <w:trHeight w:val="1790"/>
        </w:trPr>
        <w:tc>
          <w:tcPr>
            <w:cnfStyle w:val="001000000000" w:firstRow="0" w:lastRow="0" w:firstColumn="1" w:lastColumn="0" w:oddVBand="0" w:evenVBand="0" w:oddHBand="0" w:evenHBand="0" w:firstRowFirstColumn="0" w:firstRowLastColumn="0" w:lastRowFirstColumn="0" w:lastRowLastColumn="0"/>
            <w:tcW w:w="810" w:type="dxa"/>
            <w:textDirection w:val="btLr"/>
            <w:vAlign w:val="center"/>
          </w:tcPr>
          <w:p w:rsidR="0009274E" w:rsidRPr="00AF7B5E" w:rsidRDefault="0009274E" w:rsidP="00AF7B5E">
            <w:pPr>
              <w:ind w:left="113" w:right="113"/>
              <w:jc w:val="center"/>
              <w:rPr>
                <w:rFonts w:ascii="Tw Cen MT" w:hAnsi="Tw Cen MT"/>
                <w:b w:val="0"/>
                <w:sz w:val="28"/>
                <w:szCs w:val="28"/>
              </w:rPr>
            </w:pPr>
            <w:r w:rsidRPr="00AF7B5E">
              <w:rPr>
                <w:rFonts w:ascii="Tw Cen MT" w:hAnsi="Tw Cen MT"/>
                <w:b w:val="0"/>
                <w:sz w:val="28"/>
                <w:szCs w:val="28"/>
              </w:rPr>
              <w:t>Argument/Persuasion</w:t>
            </w:r>
          </w:p>
        </w:tc>
        <w:tc>
          <w:tcPr>
            <w:tcW w:w="2979" w:type="dxa"/>
          </w:tcPr>
          <w:p w:rsidR="0009274E" w:rsidRPr="00705007" w:rsidRDefault="0009274E" w:rsidP="00705007">
            <w:pPr>
              <w:numPr>
                <w:ilvl w:val="0"/>
                <w:numId w:val="8"/>
              </w:numPr>
              <w:tabs>
                <w:tab w:val="clear" w:pos="720"/>
              </w:tabs>
              <w:ind w:left="252" w:hanging="187"/>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Assert an opinion, present a recommendation, or support an argument.</w:t>
            </w:r>
          </w:p>
          <w:p w:rsidR="0009274E" w:rsidRPr="00705007" w:rsidRDefault="0009274E" w:rsidP="00705007">
            <w:pPr>
              <w:numPr>
                <w:ilvl w:val="0"/>
                <w:numId w:val="8"/>
              </w:numPr>
              <w:tabs>
                <w:tab w:val="clear" w:pos="720"/>
              </w:tabs>
              <w:ind w:left="252" w:hanging="187"/>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Providing detailed evidence to support the claim you are attempting to persuade the reader to accept.</w:t>
            </w:r>
          </w:p>
          <w:p w:rsidR="0009274E" w:rsidRPr="00705007" w:rsidRDefault="0009274E" w:rsidP="00705007">
            <w:pPr>
              <w:numPr>
                <w:ilvl w:val="0"/>
                <w:numId w:val="8"/>
              </w:numPr>
              <w:tabs>
                <w:tab w:val="clear" w:pos="720"/>
              </w:tabs>
              <w:ind w:left="252" w:hanging="187"/>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Examples include editorials, problem-solution essays, suggestions for making a decision concerning a significant issue, or an opinion paper dealing with a controversial or debatable topic.</w:t>
            </w:r>
          </w:p>
          <w:p w:rsidR="0009274E" w:rsidRPr="00705007" w:rsidRDefault="0009274E" w:rsidP="00705007">
            <w:pPr>
              <w:numPr>
                <w:ilvl w:val="0"/>
                <w:numId w:val="8"/>
              </w:numPr>
              <w:tabs>
                <w:tab w:val="clear" w:pos="720"/>
              </w:tabs>
              <w:ind w:left="252" w:hanging="187"/>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Considers the background knowledge, experiences, and predispositions of the intended audience(s), modifying language and approach to address these issues to enhance the power of the argument or proposal.</w:t>
            </w:r>
          </w:p>
        </w:tc>
        <w:tc>
          <w:tcPr>
            <w:tcW w:w="3177" w:type="dxa"/>
          </w:tcPr>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State your position (claim).</w:t>
            </w:r>
          </w:p>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 xml:space="preserve">Provide arguments and supporting evidence (facts, examples, explanations, illustrations, statistics, quotes, </w:t>
            </w:r>
            <w:proofErr w:type="gramStart"/>
            <w:r w:rsidRPr="00705007">
              <w:rPr>
                <w:rFonts w:ascii="Tw Cen MT" w:hAnsi="Tw Cen MT"/>
                <w:sz w:val="21"/>
                <w:szCs w:val="21"/>
              </w:rPr>
              <w:t>related</w:t>
            </w:r>
            <w:proofErr w:type="gramEnd"/>
            <w:r w:rsidRPr="00705007">
              <w:rPr>
                <w:rFonts w:ascii="Tw Cen MT" w:hAnsi="Tw Cen MT"/>
                <w:sz w:val="21"/>
                <w:szCs w:val="21"/>
              </w:rPr>
              <w:t xml:space="preserve"> data).</w:t>
            </w:r>
          </w:p>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Anticipate possible counter-arguments or positions (and debate or negate them).</w:t>
            </w:r>
          </w:p>
          <w:p w:rsidR="0009274E" w:rsidRPr="00705007" w:rsidRDefault="0009274E" w:rsidP="0009274E">
            <w:pPr>
              <w:numPr>
                <w:ilvl w:val="0"/>
                <w:numId w:val="8"/>
              </w:numPr>
              <w:tabs>
                <w:tab w:val="clear" w:pos="720"/>
              </w:tabs>
              <w:ind w:left="425"/>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Recap or summarize your position at the end, leaving your reader with a call to action or recommendation for next steps.</w:t>
            </w:r>
          </w:p>
        </w:tc>
        <w:tc>
          <w:tcPr>
            <w:tcW w:w="3177" w:type="dxa"/>
          </w:tcPr>
          <w:p w:rsidR="0009274E" w:rsidRPr="00705007" w:rsidRDefault="0009274E" w:rsidP="0009274E">
            <w:pPr>
              <w:numPr>
                <w:ilvl w:val="0"/>
                <w:numId w:val="8"/>
              </w:numPr>
              <w:tabs>
                <w:tab w:val="clear" w:pos="720"/>
              </w:tabs>
              <w:ind w:left="306" w:hanging="241"/>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Time/sequence transitional expressions—e.g., first, second, third, finally.</w:t>
            </w:r>
          </w:p>
          <w:p w:rsidR="0009274E" w:rsidRPr="00705007" w:rsidRDefault="0009274E" w:rsidP="0009274E">
            <w:pPr>
              <w:numPr>
                <w:ilvl w:val="0"/>
                <w:numId w:val="8"/>
              </w:numPr>
              <w:tabs>
                <w:tab w:val="clear" w:pos="720"/>
              </w:tabs>
              <w:ind w:left="306" w:hanging="241"/>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Counter-argument transitional expressions—e.g., even though, if-only, on the other hand.</w:t>
            </w:r>
          </w:p>
          <w:p w:rsidR="0009274E" w:rsidRPr="00705007" w:rsidRDefault="0009274E" w:rsidP="0009274E">
            <w:pPr>
              <w:numPr>
                <w:ilvl w:val="0"/>
                <w:numId w:val="8"/>
              </w:numPr>
              <w:tabs>
                <w:tab w:val="clear" w:pos="720"/>
              </w:tabs>
              <w:ind w:left="306" w:hanging="241"/>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Imperative expressions—e.g., while, however, most importantly.</w:t>
            </w:r>
          </w:p>
          <w:p w:rsidR="0009274E" w:rsidRPr="00705007" w:rsidRDefault="0009274E" w:rsidP="0009274E">
            <w:pPr>
              <w:numPr>
                <w:ilvl w:val="0"/>
                <w:numId w:val="8"/>
              </w:numPr>
              <w:tabs>
                <w:tab w:val="clear" w:pos="720"/>
              </w:tabs>
              <w:ind w:left="306" w:hanging="241"/>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Concluding expressions—e.g., therefore, in conclusion, in summary, perhaps most importantly, it is essential that…</w:t>
            </w:r>
          </w:p>
          <w:p w:rsidR="0009274E" w:rsidRPr="00705007" w:rsidRDefault="0009274E" w:rsidP="0009274E">
            <w:pPr>
              <w:numPr>
                <w:ilvl w:val="0"/>
                <w:numId w:val="8"/>
              </w:numPr>
              <w:tabs>
                <w:tab w:val="clear" w:pos="720"/>
              </w:tabs>
              <w:ind w:left="306" w:hanging="241"/>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Appeal to Logic: therefore, as a result, consequently.</w:t>
            </w:r>
          </w:p>
          <w:p w:rsidR="0009274E" w:rsidRPr="00705007" w:rsidRDefault="0009274E" w:rsidP="0009274E">
            <w:pPr>
              <w:numPr>
                <w:ilvl w:val="0"/>
                <w:numId w:val="8"/>
              </w:numPr>
              <w:tabs>
                <w:tab w:val="clear" w:pos="720"/>
              </w:tabs>
              <w:ind w:left="306" w:hanging="241"/>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 xml:space="preserve">Appeal to Emotion and Feeling: </w:t>
            </w:r>
            <w:proofErr w:type="gramStart"/>
            <w:r w:rsidRPr="00705007">
              <w:rPr>
                <w:rFonts w:ascii="Tw Cen MT" w:hAnsi="Tw Cen MT"/>
                <w:sz w:val="21"/>
                <w:szCs w:val="21"/>
              </w:rPr>
              <w:t>should, must ought</w:t>
            </w:r>
            <w:proofErr w:type="gramEnd"/>
            <w:r w:rsidRPr="00705007">
              <w:rPr>
                <w:rFonts w:ascii="Tw Cen MT" w:hAnsi="Tw Cen MT"/>
                <w:sz w:val="21"/>
                <w:szCs w:val="21"/>
              </w:rPr>
              <w:t xml:space="preserve"> to, deplorably.</w:t>
            </w:r>
          </w:p>
          <w:p w:rsidR="0009274E" w:rsidRPr="00705007" w:rsidRDefault="0009274E" w:rsidP="0009274E">
            <w:pPr>
              <w:numPr>
                <w:ilvl w:val="0"/>
                <w:numId w:val="8"/>
              </w:numPr>
              <w:tabs>
                <w:tab w:val="clear" w:pos="720"/>
              </w:tabs>
              <w:ind w:left="306" w:hanging="241"/>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Appeal to Ethics or Morality: in all good conscience, for the sake of humanity, as a question of ethics, ethically, morally.</w:t>
            </w:r>
          </w:p>
        </w:tc>
        <w:tc>
          <w:tcPr>
            <w:tcW w:w="3177" w:type="dxa"/>
          </w:tcPr>
          <w:p w:rsidR="0009274E" w:rsidRPr="00705007" w:rsidRDefault="0009274E" w:rsidP="00705007">
            <w:pPr>
              <w:numPr>
                <w:ilvl w:val="0"/>
                <w:numId w:val="8"/>
              </w:numPr>
              <w:tabs>
                <w:tab w:val="clear" w:pos="720"/>
              </w:tabs>
              <w:ind w:left="279" w:hanging="214"/>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Modals (auxiliary verbs that show likelihood, probability, permission, or obligation) should be used to reinforce the importance of supporting the claim or recommendation</w:t>
            </w:r>
            <w:r w:rsidR="00705007" w:rsidRPr="00705007">
              <w:rPr>
                <w:rFonts w:ascii="Tw Cen MT" w:hAnsi="Tw Cen MT"/>
                <w:sz w:val="21"/>
                <w:szCs w:val="21"/>
              </w:rPr>
              <w:t xml:space="preserve"> </w:t>
            </w:r>
            <w:r w:rsidRPr="00705007">
              <w:rPr>
                <w:rFonts w:ascii="Tw Cen MT" w:hAnsi="Tw Cen MT"/>
                <w:sz w:val="21"/>
                <w:szCs w:val="21"/>
              </w:rPr>
              <w:t>being presented—e.g., should, must, ought, can, might, will, would, shall, should.</w:t>
            </w:r>
          </w:p>
          <w:p w:rsidR="0009274E" w:rsidRPr="00705007" w:rsidRDefault="0009274E" w:rsidP="00705007">
            <w:pPr>
              <w:numPr>
                <w:ilvl w:val="0"/>
                <w:numId w:val="8"/>
              </w:numPr>
              <w:tabs>
                <w:tab w:val="clear" w:pos="720"/>
              </w:tabs>
              <w:ind w:left="279" w:hanging="214"/>
              <w:cnfStyle w:val="000000000000" w:firstRow="0" w:lastRow="0" w:firstColumn="0" w:lastColumn="0" w:oddVBand="0" w:evenVBand="0" w:oddHBand="0" w:evenHBand="0" w:firstRowFirstColumn="0" w:firstRowLastColumn="0" w:lastRowFirstColumn="0" w:lastRowLastColumn="0"/>
              <w:rPr>
                <w:rFonts w:ascii="Tw Cen MT" w:hAnsi="Tw Cen MT"/>
                <w:sz w:val="21"/>
                <w:szCs w:val="21"/>
              </w:rPr>
            </w:pPr>
            <w:r w:rsidRPr="00705007">
              <w:rPr>
                <w:rFonts w:ascii="Tw Cen MT" w:hAnsi="Tw Cen MT"/>
                <w:sz w:val="21"/>
                <w:szCs w:val="21"/>
              </w:rPr>
              <w:t xml:space="preserve">Can use a range of stances to make your case persuasive: (1) </w:t>
            </w:r>
            <w:r w:rsidRPr="00705007">
              <w:rPr>
                <w:rFonts w:ascii="Tw Cen MT" w:hAnsi="Tw Cen MT"/>
                <w:b/>
                <w:sz w:val="21"/>
                <w:szCs w:val="21"/>
              </w:rPr>
              <w:t>Appeal to Logic</w:t>
            </w:r>
            <w:r w:rsidRPr="00705007">
              <w:rPr>
                <w:rFonts w:ascii="Tw Cen MT" w:hAnsi="Tw Cen MT"/>
                <w:sz w:val="21"/>
                <w:szCs w:val="21"/>
              </w:rPr>
              <w:t xml:space="preserve"> (making the case with logical arguments and objective voice); (2) </w:t>
            </w:r>
            <w:r w:rsidRPr="00705007">
              <w:rPr>
                <w:rFonts w:ascii="Tw Cen MT" w:hAnsi="Tw Cen MT"/>
                <w:b/>
                <w:sz w:val="21"/>
                <w:szCs w:val="21"/>
              </w:rPr>
              <w:t>Appeal to Emotion and Feeling</w:t>
            </w:r>
            <w:r w:rsidRPr="00705007">
              <w:rPr>
                <w:rFonts w:ascii="Tw Cen MT" w:hAnsi="Tw Cen MT"/>
                <w:sz w:val="21"/>
                <w:szCs w:val="21"/>
              </w:rPr>
              <w:t xml:space="preserve"> (triggering emotional responses in the reader to build empathy and agreement); and/or (3) </w:t>
            </w:r>
            <w:r w:rsidRPr="00705007">
              <w:rPr>
                <w:rFonts w:ascii="Tw Cen MT" w:hAnsi="Tw Cen MT"/>
                <w:b/>
                <w:sz w:val="21"/>
                <w:szCs w:val="21"/>
              </w:rPr>
              <w:t>Appeal to Ethics or Morality</w:t>
            </w:r>
            <w:r w:rsidRPr="00705007">
              <w:rPr>
                <w:rFonts w:ascii="Tw Cen MT" w:hAnsi="Tw Cen MT"/>
                <w:sz w:val="21"/>
                <w:szCs w:val="21"/>
              </w:rPr>
              <w:t xml:space="preserve"> (appealing to the reader’s sense of a greater good or a sense of fairness and equity).</w:t>
            </w:r>
          </w:p>
        </w:tc>
      </w:tr>
      <w:tr w:rsidR="00AF7B5E" w:rsidTr="00AF7B5E">
        <w:trPr>
          <w:cnfStyle w:val="000000100000" w:firstRow="0" w:lastRow="0" w:firstColumn="0" w:lastColumn="0" w:oddVBand="0" w:evenVBand="0" w:oddHBand="1" w:evenHBand="0" w:firstRowFirstColumn="0" w:firstRowLastColumn="0" w:lastRowFirstColumn="0" w:lastRowLastColumn="0"/>
          <w:trHeight w:val="2339"/>
        </w:trPr>
        <w:tc>
          <w:tcPr>
            <w:cnfStyle w:val="001000000000" w:firstRow="0" w:lastRow="0" w:firstColumn="1" w:lastColumn="0" w:oddVBand="0" w:evenVBand="0" w:oddHBand="0" w:evenHBand="0" w:firstRowFirstColumn="0" w:firstRowLastColumn="0" w:lastRowFirstColumn="0" w:lastRowLastColumn="0"/>
            <w:tcW w:w="810" w:type="dxa"/>
            <w:textDirection w:val="btLr"/>
            <w:vAlign w:val="center"/>
          </w:tcPr>
          <w:p w:rsidR="00E65509" w:rsidRDefault="00E65509" w:rsidP="00AF7B5E">
            <w:pPr>
              <w:ind w:left="113" w:right="113"/>
              <w:jc w:val="center"/>
              <w:rPr>
                <w:rFonts w:ascii="Tw Cen MT" w:hAnsi="Tw Cen MT"/>
                <w:b w:val="0"/>
                <w:sz w:val="28"/>
                <w:szCs w:val="28"/>
              </w:rPr>
            </w:pPr>
            <w:r>
              <w:rPr>
                <w:rFonts w:ascii="Tw Cen MT" w:hAnsi="Tw Cen MT"/>
                <w:b w:val="0"/>
                <w:sz w:val="28"/>
                <w:szCs w:val="28"/>
              </w:rPr>
              <w:lastRenderedPageBreak/>
              <w:t xml:space="preserve">Other: </w:t>
            </w:r>
            <w:r w:rsidR="00705007" w:rsidRPr="00AF7B5E">
              <w:rPr>
                <w:rFonts w:ascii="Tw Cen MT" w:hAnsi="Tw Cen MT"/>
                <w:b w:val="0"/>
                <w:sz w:val="28"/>
                <w:szCs w:val="28"/>
              </w:rPr>
              <w:t>Multimedia Presentations</w:t>
            </w:r>
            <w:r>
              <w:rPr>
                <w:rFonts w:ascii="Tw Cen MT" w:hAnsi="Tw Cen MT"/>
                <w:b w:val="0"/>
                <w:sz w:val="28"/>
                <w:szCs w:val="28"/>
              </w:rPr>
              <w:t xml:space="preserve"> </w:t>
            </w:r>
          </w:p>
          <w:p w:rsidR="00705007" w:rsidRPr="00AF7B5E" w:rsidRDefault="00E65509" w:rsidP="00AF7B5E">
            <w:pPr>
              <w:ind w:left="113" w:right="113"/>
              <w:jc w:val="center"/>
              <w:rPr>
                <w:rFonts w:ascii="Tw Cen MT" w:hAnsi="Tw Cen MT"/>
                <w:b w:val="0"/>
                <w:sz w:val="28"/>
                <w:szCs w:val="28"/>
              </w:rPr>
            </w:pPr>
            <w:r>
              <w:rPr>
                <w:rFonts w:ascii="Tw Cen MT" w:hAnsi="Tw Cen MT"/>
                <w:b w:val="0"/>
                <w:sz w:val="28"/>
                <w:szCs w:val="28"/>
              </w:rPr>
              <w:t>or Publications</w:t>
            </w:r>
          </w:p>
        </w:tc>
        <w:tc>
          <w:tcPr>
            <w:tcW w:w="2979" w:type="dxa"/>
          </w:tcPr>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Selects a specific format to reach an intended audience for a specific purpose or goal.</w:t>
            </w:r>
          </w:p>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Frequently uses a wider range of sensory modalities than those encountered in written text alone (e.g., visual imagery, sounds, touch sensations).</w:t>
            </w:r>
          </w:p>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Formats can include visual, written, and/or auditory.</w:t>
            </w:r>
          </w:p>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 xml:space="preserve">Examples include brochures, pamphlets, advertisements, </w:t>
            </w:r>
            <w:proofErr w:type="spellStart"/>
            <w:r>
              <w:rPr>
                <w:rFonts w:ascii="Tw Cen MT" w:hAnsi="Tw Cen MT"/>
              </w:rPr>
              <w:t>P</w:t>
            </w:r>
            <w:r w:rsidRPr="00456F5B">
              <w:rPr>
                <w:rFonts w:ascii="Tw Cen MT" w:hAnsi="Tw Cen MT"/>
              </w:rPr>
              <w:t>ower</w:t>
            </w:r>
            <w:r>
              <w:rPr>
                <w:rFonts w:ascii="Tw Cen MT" w:hAnsi="Tw Cen MT"/>
              </w:rPr>
              <w:t>P</w:t>
            </w:r>
            <w:r w:rsidRPr="00456F5B">
              <w:rPr>
                <w:rFonts w:ascii="Tw Cen MT" w:hAnsi="Tw Cen MT"/>
              </w:rPr>
              <w:t>oints</w:t>
            </w:r>
            <w:proofErr w:type="spellEnd"/>
            <w:r w:rsidRPr="00456F5B">
              <w:rPr>
                <w:rFonts w:ascii="Tw Cen MT" w:hAnsi="Tw Cen MT"/>
              </w:rPr>
              <w:t>, web pages, blogs, magazine articles, visual representations with accompanying text. Podcast, radio show, musical performance.</w:t>
            </w:r>
          </w:p>
          <w:p w:rsidR="00705007" w:rsidRPr="00456F5B" w:rsidRDefault="00705007" w:rsidP="00253F46">
            <w:pPr>
              <w:ind w:left="65"/>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3177" w:type="dxa"/>
          </w:tcPr>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The organization depends upon the format and intended purpose.</w:t>
            </w:r>
          </w:p>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Visual: Combines text with visuals such as photos, pictures, and other non-linguistic representations to convey an idea or message.</w:t>
            </w:r>
          </w:p>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Written: Combines text with appropriate formatting to express a powerful and audience-accessible message or idea.</w:t>
            </w:r>
          </w:p>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Auditory: A medium that is heard (e.g., music, radio show, Podcast), with ideas and emotions manipulated to achieve the goal or purpose of the communication.</w:t>
            </w:r>
          </w:p>
        </w:tc>
        <w:tc>
          <w:tcPr>
            <w:tcW w:w="3177" w:type="dxa"/>
          </w:tcPr>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The transitional words and phrases should align with and be tailored to the format and purpose(s) intended for the communication.</w:t>
            </w:r>
          </w:p>
        </w:tc>
        <w:tc>
          <w:tcPr>
            <w:tcW w:w="3177" w:type="dxa"/>
          </w:tcPr>
          <w:p w:rsidR="00705007" w:rsidRPr="00456F5B" w:rsidRDefault="00705007" w:rsidP="00705007">
            <w:pPr>
              <w:numPr>
                <w:ilvl w:val="0"/>
                <w:numId w:val="8"/>
              </w:numPr>
              <w:tabs>
                <w:tab w:val="clear" w:pos="720"/>
              </w:tabs>
              <w:ind w:left="425"/>
              <w:cnfStyle w:val="000000100000" w:firstRow="0" w:lastRow="0" w:firstColumn="0" w:lastColumn="0" w:oddVBand="0" w:evenVBand="0" w:oddHBand="1" w:evenHBand="0" w:firstRowFirstColumn="0" w:firstRowLastColumn="0" w:lastRowFirstColumn="0" w:lastRowLastColumn="0"/>
              <w:rPr>
                <w:rFonts w:ascii="Tw Cen MT" w:hAnsi="Tw Cen MT"/>
              </w:rPr>
            </w:pPr>
            <w:r w:rsidRPr="00456F5B">
              <w:rPr>
                <w:rFonts w:ascii="Tw Cen MT" w:hAnsi="Tw Cen MT"/>
              </w:rPr>
              <w:t>Again, the language features of the “other” category will depend upon the purpose, goals, and audience of the intended communication.</w:t>
            </w:r>
          </w:p>
        </w:tc>
      </w:tr>
    </w:tbl>
    <w:p w:rsidR="00695BEB" w:rsidRPr="00456F5B" w:rsidRDefault="00695BEB" w:rsidP="00695BEB">
      <w:pPr>
        <w:spacing w:line="240" w:lineRule="auto"/>
        <w:jc w:val="both"/>
        <w:rPr>
          <w:rFonts w:ascii="Tw Cen MT" w:hAnsi="Tw Cen MT"/>
        </w:rPr>
      </w:pPr>
    </w:p>
    <w:p w:rsidR="00695BEB" w:rsidRPr="00695BEB" w:rsidRDefault="00695BEB" w:rsidP="00695BEB"/>
    <w:sectPr w:rsidR="00695BEB" w:rsidRPr="00695BEB" w:rsidSect="000927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4C5"/>
    <w:multiLevelType w:val="hybridMultilevel"/>
    <w:tmpl w:val="EC18FC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DF25D9"/>
    <w:multiLevelType w:val="hybridMultilevel"/>
    <w:tmpl w:val="BE02019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7B17FE"/>
    <w:multiLevelType w:val="hybridMultilevel"/>
    <w:tmpl w:val="7262A8A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F57EF3"/>
    <w:multiLevelType w:val="hybridMultilevel"/>
    <w:tmpl w:val="0E1481E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E73CE8"/>
    <w:multiLevelType w:val="hybridMultilevel"/>
    <w:tmpl w:val="E31658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4F0E29"/>
    <w:multiLevelType w:val="hybridMultilevel"/>
    <w:tmpl w:val="DF10E6D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1537E5"/>
    <w:multiLevelType w:val="hybridMultilevel"/>
    <w:tmpl w:val="7E3A07D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B92A75"/>
    <w:multiLevelType w:val="hybridMultilevel"/>
    <w:tmpl w:val="ED881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EB"/>
    <w:rsid w:val="0009274E"/>
    <w:rsid w:val="000F371C"/>
    <w:rsid w:val="00261F6D"/>
    <w:rsid w:val="00695BEB"/>
    <w:rsid w:val="00705007"/>
    <w:rsid w:val="008509FE"/>
    <w:rsid w:val="009B0870"/>
    <w:rsid w:val="00AF6886"/>
    <w:rsid w:val="00AF7B5E"/>
    <w:rsid w:val="00E65509"/>
    <w:rsid w:val="00EB2FC5"/>
    <w:rsid w:val="00F9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BEB"/>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695BEB"/>
    <w:rPr>
      <w:rFonts w:asciiTheme="majorHAnsi" w:eastAsiaTheme="majorEastAsia" w:hAnsiTheme="majorHAnsi" w:cstheme="majorBidi"/>
      <w:color w:val="152830" w:themeColor="text2" w:themeShade="BF"/>
      <w:spacing w:val="5"/>
      <w:kern w:val="28"/>
      <w:sz w:val="52"/>
      <w:szCs w:val="52"/>
    </w:rPr>
  </w:style>
  <w:style w:type="table" w:styleId="TableGrid">
    <w:name w:val="Table Grid"/>
    <w:basedOn w:val="TableNormal"/>
    <w:uiPriority w:val="59"/>
    <w:rsid w:val="0069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BEB"/>
    <w:pPr>
      <w:ind w:left="720"/>
      <w:contextualSpacing/>
    </w:pPr>
  </w:style>
  <w:style w:type="table" w:styleId="MediumGrid3-Accent1">
    <w:name w:val="Medium Grid 3 Accent 1"/>
    <w:basedOn w:val="TableNormal"/>
    <w:uiPriority w:val="69"/>
    <w:rsid w:val="000F37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6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9AA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9AA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9AA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9AA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CC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CCD2"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BEB"/>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695BEB"/>
    <w:rPr>
      <w:rFonts w:asciiTheme="majorHAnsi" w:eastAsiaTheme="majorEastAsia" w:hAnsiTheme="majorHAnsi" w:cstheme="majorBidi"/>
      <w:color w:val="152830" w:themeColor="text2" w:themeShade="BF"/>
      <w:spacing w:val="5"/>
      <w:kern w:val="28"/>
      <w:sz w:val="52"/>
      <w:szCs w:val="52"/>
    </w:rPr>
  </w:style>
  <w:style w:type="table" w:styleId="TableGrid">
    <w:name w:val="Table Grid"/>
    <w:basedOn w:val="TableNormal"/>
    <w:uiPriority w:val="59"/>
    <w:rsid w:val="0069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BEB"/>
    <w:pPr>
      <w:ind w:left="720"/>
      <w:contextualSpacing/>
    </w:pPr>
  </w:style>
  <w:style w:type="table" w:styleId="MediumGrid3-Accent1">
    <w:name w:val="Medium Grid 3 Accent 1"/>
    <w:basedOn w:val="TableNormal"/>
    <w:uiPriority w:val="69"/>
    <w:rsid w:val="000F37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6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9AA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9AA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9AA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9AA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CC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CCD2"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swhelan</dc:creator>
  <cp:lastModifiedBy>kharman</cp:lastModifiedBy>
  <cp:revision>2</cp:revision>
  <cp:lastPrinted>2014-02-26T15:41:00Z</cp:lastPrinted>
  <dcterms:created xsi:type="dcterms:W3CDTF">2014-04-03T17:55:00Z</dcterms:created>
  <dcterms:modified xsi:type="dcterms:W3CDTF">2014-04-03T17:55:00Z</dcterms:modified>
</cp:coreProperties>
</file>